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1"/>
      </w:pPr>
      <w:r>
        <w:rPr>
          <w:rStyle w:val="Nessuno"/>
          <w:outline w:val="0"/>
          <w:color w:val="ff0000"/>
          <w:sz w:val="48"/>
          <w:szCs w:val="4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COMUNICATO STAMPA</w:t>
      </w:r>
      <w:r>
        <w:rPr>
          <w:rStyle w:val="Nessuno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189706</wp:posOffset>
            </wp:positionH>
            <wp:positionV relativeFrom="page">
              <wp:posOffset>388619</wp:posOffset>
            </wp:positionV>
            <wp:extent cx="5394564" cy="1364882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3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94564" cy="13648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olo1"/>
        <w:rPr>
          <w:rStyle w:val="Nessuno"/>
          <w:rFonts w:ascii="Arial" w:cs="Arial" w:hAnsi="Arial" w:eastAsia="Arial"/>
          <w:sz w:val="30"/>
          <w:szCs w:val="30"/>
          <w:lang w:val="it-IT"/>
        </w:rPr>
      </w:pPr>
      <w:r>
        <w:rPr>
          <w:rStyle w:val="Nessuno"/>
          <w:rFonts w:ascii="Arial" w:hAnsi="Arial"/>
          <w:sz w:val="30"/>
          <w:szCs w:val="30"/>
          <w:rtl w:val="0"/>
          <w:lang w:val="it-IT"/>
        </w:rPr>
        <w:t xml:space="preserve">Cybersecurity e nuovo servizio Checkup Sicurezza al centro </w:t>
      </w:r>
      <w:r>
        <w:rPr>
          <w:rStyle w:val="Nessuno"/>
          <w:rFonts w:ascii="Arial" w:cs="Arial" w:hAnsi="Arial" w:eastAsia="Arial"/>
          <w:sz w:val="30"/>
          <w:szCs w:val="30"/>
          <w:lang w:val="it-IT"/>
        </w:rPr>
        <w:br w:type="textWrapping"/>
      </w:r>
      <w:r>
        <w:rPr>
          <w:rStyle w:val="Nessuno"/>
          <w:rFonts w:ascii="Arial" w:hAnsi="Arial"/>
          <w:sz w:val="30"/>
          <w:szCs w:val="30"/>
          <w:rtl w:val="0"/>
          <w:lang w:val="it-IT"/>
        </w:rPr>
        <w:t xml:space="preserve">di un evento organizzato dalla Chambre Valdotaine </w:t>
      </w:r>
    </w:p>
    <w:p>
      <w:pPr>
        <w:pStyle w:val="Normale1"/>
        <w:tabs>
          <w:tab w:val="left" w:pos="7095"/>
        </w:tabs>
        <w:spacing w:line="360" w:lineRule="auto"/>
        <w:jc w:val="both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e1"/>
        <w:spacing w:line="360" w:lineRule="auto"/>
        <w:ind w:firstLine="567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Punto impresa Digitale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della Chambre Valdotaine, struttura di servizio dedicata alla diffusione della cultura digitale nelle MPMI, propone, mercoled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14 dicembre alle ore 14.30 presso la P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pini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 d'Entreprises di Aosta, un evento di approfondimento sui temi della Cybersecurity ed in particolare sul nuovo Servizio Checkup Sicurezza IT.</w:t>
      </w:r>
    </w:p>
    <w:p>
      <w:pPr>
        <w:pStyle w:val="Normale1"/>
        <w:spacing w:line="360" w:lineRule="auto"/>
        <w:ind w:firstLine="567"/>
        <w:jc w:val="both"/>
        <w:rPr>
          <w:rFonts w:ascii="Arial" w:cs="Arial" w:hAnsi="Arial" w:eastAsia="Arial"/>
        </w:rPr>
      </w:pPr>
    </w:p>
    <w:p>
      <w:pPr>
        <w:pStyle w:val="Normale1"/>
        <w:spacing w:line="360" w:lineRule="auto"/>
        <w:ind w:firstLine="567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esposizione cyber di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azienda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impronta digitale lasciata da ogni attivit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eseguita sulla rete Internet. Ogni impresa utilizza molti strumenti digitali per operare nel proprio business: per</w:t>
      </w:r>
      <w:r>
        <w:rPr>
          <w:rStyle w:val="Nessuno"/>
          <w:rFonts w:ascii="Arial" w:hAnsi="Arial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aumentare la propria visibilit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sul web, per comunicare con clienti e fornitori, per gestire le proprie informazioni e per condividere dati sulla rete. </w:t>
      </w:r>
    </w:p>
    <w:p>
      <w:pPr>
        <w:pStyle w:val="Normale1"/>
        <w:spacing w:line="360" w:lineRule="auto"/>
        <w:ind w:firstLine="567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e1"/>
        <w:spacing w:line="360" w:lineRule="auto"/>
        <w:ind w:firstLine="567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Sito web, e-mail aziendali, e-mail personali, infrastrutture informatiche non sempre aggiornate sono tutti elementi che possono diventare porte di accesso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azione di criminali informatici e di cui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azienda deve essere consapevole per minimizzare i rischi.</w:t>
      </w:r>
    </w:p>
    <w:p>
      <w:pPr>
        <w:pStyle w:val="Normale1"/>
        <w:spacing w:line="360" w:lineRule="auto"/>
        <w:ind w:firstLine="567"/>
        <w:jc w:val="both"/>
        <w:rPr>
          <w:rFonts w:ascii="Arial" w:cs="Arial" w:hAnsi="Arial" w:eastAsia="Arial"/>
        </w:rPr>
      </w:pPr>
    </w:p>
    <w:p>
      <w:pPr>
        <w:pStyle w:val="Normale1"/>
        <w:spacing w:line="360" w:lineRule="auto"/>
        <w:ind w:firstLine="567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Il servizio, presentato in occasione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incontro di mercoled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ì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offre due differenti livelli di analisi del rischio cyber di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impresa:</w:t>
      </w:r>
    </w:p>
    <w:p>
      <w:pPr>
        <w:pStyle w:val="Normale1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1"/>
        <w:numPr>
          <w:ilvl w:val="0"/>
          <w:numId w:val="2"/>
        </w:numPr>
        <w:spacing w:line="360" w:lineRule="auto"/>
        <w:jc w:val="both"/>
        <w:rPr>
          <w:rFonts w:ascii="Arial" w:hAnsi="Arial" w:hint="default"/>
          <w:lang w:val="it-IT"/>
        </w:rPr>
      </w:pP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PID Cyber Check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” –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livello 1: </w:t>
      </w:r>
      <w:r>
        <w:rPr>
          <w:rFonts w:ascii="Arial" w:hAnsi="Arial" w:hint="default"/>
          <w:rtl w:val="0"/>
          <w:lang w:val="it-IT"/>
        </w:rPr>
        <w:t>è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un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test gratuito di self-assessment che restituisce una prima valutazione del livello di rischio di un attacco informatico al quale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impresa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esposta. </w:t>
      </w:r>
    </w:p>
    <w:p>
      <w:pPr>
        <w:pStyle w:val="Normale1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1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Cyber Exposure Index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(C.E.I.)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livello 2: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 test pi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approfondito e personalizzato che verifica se i cybercriminali sono entrati in possesso dei dati di un'impresa e di quali informazioni dispongono per attaccarla. Questo secondo test comprende la lettura dei risultati da parte di un team di consulenti e ha un costo di euro 70 + IVA.</w:t>
      </w:r>
      <w:r>
        <w:rPr>
          <w:rStyle w:val="Nessuno"/>
          <w:rFonts w:ascii="Arial" w:cs="Arial" w:hAnsi="Arial" w:eastAsia="Arial"/>
          <w:outline w:val="0"/>
          <w:color w:val="0070c0"/>
          <w:spacing w:val="1"/>
          <w:sz w:val="22"/>
          <w:szCs w:val="22"/>
          <w:u w:color="0070c0"/>
          <w14:textFill>
            <w14:solidFill>
              <w14:srgbClr w14:val="0070C0"/>
            </w14:solidFill>
          </w14:textFill>
        </w:rPr>
        <w:tab/>
        <w:tab/>
      </w:r>
    </w:p>
    <w:p>
      <w:pPr>
        <w:pStyle w:val="rtejustify"/>
        <w:shd w:val="clear" w:color="auto" w:fill="ffffff"/>
        <w:spacing w:before="0" w:after="188" w:line="276" w:lineRule="auto"/>
        <w:jc w:val="right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rtejustify"/>
        <w:shd w:val="clear" w:color="auto" w:fill="ffffff"/>
        <w:spacing w:before="0" w:after="188" w:line="276" w:lineRule="auto"/>
        <w:jc w:val="right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Aosta, 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9 dicembre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2022</w:t>
      </w:r>
      <w:r>
        <w:rPr>
          <w:rStyle w:val="Nessuno"/>
          <w:rFonts w:ascii="Arial" w:cs="Arial" w:hAnsi="Arial" w:eastAsia="Arial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-561644</wp:posOffset>
            </wp:positionH>
            <wp:positionV relativeFrom="line">
              <wp:posOffset>836880</wp:posOffset>
            </wp:positionV>
            <wp:extent cx="1502702" cy="793170"/>
            <wp:effectExtent l="0" t="0" r="0" b="0"/>
            <wp:wrapNone/>
            <wp:docPr id="1073741834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eg" descr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02" cy="793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8" w:right="1418" w:bottom="1134" w:left="1418" w:header="0" w:footer="59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1"/>
      <w:jc w:val="both"/>
      <w:rPr>
        <w:rFonts w:ascii="Arial" w:hAnsi="Arial"/>
        <w:sz w:val="16"/>
        <w:szCs w:val="16"/>
      </w:rPr>
    </w:pP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Fonts w:ascii="Arial" w:hAnsi="Arial"/>
        <w:b w:val="1"/>
        <w:bCs w:val="1"/>
        <w:outline w:val="0"/>
        <w:color w:val="333333"/>
        <w:sz w:val="18"/>
        <w:szCs w:val="18"/>
        <w:u w:color="333333"/>
        <w:rtl w:val="0"/>
        <w:lang w:val="it-IT"/>
        <w14:textFill>
          <w14:solidFill>
            <w14:srgbClr w14:val="333333"/>
          </w14:solidFill>
        </w14:textFill>
      </w:rPr>
      <w:t>Ufficio Stampa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Regione Borgnalle,12 - </w:t>
    </w: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11100 Aosta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Tel. 0165</w:t>
    </w: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 573065</w:t>
    </w: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"mailto:cciaa.aosta@ao.legalmail.camcom.it"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cciaa.aosta@ao.legalmail.camcom.it</w:t>
    </w:r>
    <w:r>
      <w:rPr/>
      <w:fldChar w:fldCharType="end" w:fldLock="0"/>
    </w:r>
  </w:p>
  <w:p>
    <w:pPr>
      <w:pStyle w:val="Intestazione1"/>
      <w:tabs>
        <w:tab w:val="left" w:pos="1985"/>
        <w:tab w:val="left" w:pos="5387"/>
      </w:tabs>
      <w:jc w:val="center"/>
      <w:rPr>
        <w:rStyle w:val="Nessuno"/>
        <w:rFonts w:ascii="Arial" w:cs="Arial" w:hAnsi="Arial" w:eastAsia="Arial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"mailto:fabrizio.perosillo@ao.camcom.it"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fabrizio.perosillo@ao.camcom.it</w:t>
    </w:r>
    <w:r>
      <w:rPr/>
      <w:fldChar w:fldCharType="end" w:fldLock="0"/>
    </w:r>
  </w:p>
  <w:p>
    <w:pPr>
      <w:pStyle w:val="Intestazione1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outline w:val="0"/>
        <w:color w:val="808080"/>
        <w:sz w:val="16"/>
        <w:szCs w:val="16"/>
        <w:u w:color="808080"/>
        <w:rtl w:val="0"/>
        <w:lang w:val="it-IT"/>
        <w14:textFill>
          <w14:solidFill>
            <w14:srgbClr w14:val="808080"/>
          </w14:solidFill>
        </w14:textFill>
      </w:rPr>
      <w:t>www.ao.camcom.it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1"/>
      <w:jc w:val="both"/>
      <w:rPr>
        <w:rStyle w:val="Nessuno"/>
        <w:rFonts w:ascii="Arial" w:cs="Arial" w:hAnsi="Arial" w:eastAsia="Arial"/>
        <w:sz w:val="16"/>
        <w:szCs w:val="16"/>
      </w:rPr>
    </w:pPr>
  </w:p>
  <w:p>
    <w:pPr>
      <w:pStyle w:val="Piè di pagina1"/>
      <w:jc w:val="both"/>
      <w:rPr>
        <w:rStyle w:val="Nessuno A"/>
      </w:rPr>
    </w:pPr>
    <w:r>
      <w:rPr>
        <w:rStyle w:val="Nessuno"/>
        <w:rFonts w:ascii="Arial" w:hAnsi="Arial"/>
        <w:sz w:val="16"/>
        <w:szCs w:val="16"/>
        <w:rtl w:val="0"/>
        <w:lang w:val="it-IT"/>
      </w:rPr>
      <w:t>__________________________________________________________________________________________________</w:t>
    </w:r>
  </w:p>
  <w:p>
    <w:pPr>
      <w:pStyle w:val="Intestazione1"/>
      <w:tabs>
        <w:tab w:val="left" w:pos="1985"/>
        <w:tab w:val="left" w:pos="5387"/>
      </w:tabs>
      <w:jc w:val="center"/>
      <w:rPr>
        <w:rStyle w:val="Nessuno"/>
        <w:rFonts w:ascii="Arial" w:cs="Arial" w:hAnsi="Arial" w:eastAsia="Arial"/>
        <w:b w:val="1"/>
        <w:bCs w:val="1"/>
        <w:outline w:val="0"/>
        <w:color w:val="333333"/>
        <w:sz w:val="18"/>
        <w:szCs w:val="18"/>
        <w:u w:color="333333"/>
        <w14:textFill>
          <w14:solidFill>
            <w14:srgbClr w14:val="333333"/>
          </w14:solidFill>
        </w14:textFill>
      </w:rPr>
    </w:pP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Style w:val="Nessuno"/>
        <w:rFonts w:ascii="Arial" w:hAnsi="Arial"/>
        <w:b w:val="1"/>
        <w:bCs w:val="1"/>
        <w:outline w:val="0"/>
        <w:color w:val="333333"/>
        <w:sz w:val="18"/>
        <w:szCs w:val="18"/>
        <w:u w:color="333333"/>
        <w:rtl w:val="0"/>
        <w:lang w:val="it-IT"/>
        <w14:textFill>
          <w14:solidFill>
            <w14:srgbClr w14:val="333333"/>
          </w14:solidFill>
        </w14:textFill>
      </w:rPr>
      <w:t>Ufficio Stampa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Regione Borgnalle,12 - </w:t>
    </w:r>
    <w:r>
      <w:rPr>
        <w:rStyle w:val="Nessuno"/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11100 Aosta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Tel. 0165</w:t>
    </w:r>
    <w:r>
      <w:rPr>
        <w:rStyle w:val="Nessuno"/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 573065</w:t>
    </w: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"mailto:cciaa.aosta@ao.legalmail.camcom.it"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cciaa.aosta@ao.legalmail.camcom.it</w:t>
    </w:r>
    <w:r>
      <w:rPr/>
      <w:fldChar w:fldCharType="end" w:fldLock="0"/>
    </w:r>
  </w:p>
  <w:p>
    <w:pPr>
      <w:pStyle w:val="Intestazione1"/>
      <w:tabs>
        <w:tab w:val="left" w:pos="1985"/>
        <w:tab w:val="left" w:pos="5387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"mailto:fabrizio.perosillo@ao.camcom.it"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fabrizio.perosillo@ao.camcom.it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right" w:pos="8762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5936614</wp:posOffset>
              </wp:positionH>
              <wp:positionV relativeFrom="page">
                <wp:posOffset>10153015</wp:posOffset>
              </wp:positionV>
              <wp:extent cx="722631" cy="502920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631" cy="502920"/>
                        <a:chOff x="0" y="0"/>
                        <a:chExt cx="722630" cy="50291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22631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" y="200"/>
                          <a:ext cx="722279" cy="5025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67.5pt;margin-top:799.5pt;width:56.9pt;height:39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2630,502920">
              <w10:wrap type="none" side="bothSides" anchorx="page" anchory="page"/>
              <v:rect id="_x0000_s1028" style="position:absolute;left:0;top:0;width:722630;height:5029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76;top:200;width:722278;height:502521;">
                <v:imagedata r:id="rId1" o:title="image1.pn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tabs>
        <w:tab w:val="left" w:pos="1985"/>
        <w:tab w:val="left" w:pos="567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5898514</wp:posOffset>
              </wp:positionH>
              <wp:positionV relativeFrom="page">
                <wp:posOffset>9972040</wp:posOffset>
              </wp:positionV>
              <wp:extent cx="722631" cy="502920"/>
              <wp:effectExtent l="0" t="0" r="0" b="0"/>
              <wp:wrapNone/>
              <wp:docPr id="1073741832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631" cy="502920"/>
                        <a:chOff x="0" y="0"/>
                        <a:chExt cx="722630" cy="502919"/>
                      </a:xfrm>
                    </wpg:grpSpPr>
                    <wps:wsp>
                      <wps:cNvPr id="1073741830" name="Shape 1073741832"/>
                      <wps:cNvSpPr/>
                      <wps:spPr>
                        <a:xfrm>
                          <a:off x="0" y="0"/>
                          <a:ext cx="722631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image.pdf" descr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" y="200"/>
                          <a:ext cx="722279" cy="5025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1" style="visibility:visible;position:absolute;margin-left:464.5pt;margin-top:785.2pt;width:56.9pt;height:39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2630,502920">
              <w10:wrap type="none" side="bothSides" anchorx="page" anchory="page"/>
              <v:rect id="_x0000_s1032" style="position:absolute;left:0;top:0;width:722630;height:5029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3" type="#_x0000_t75" style="position:absolute;left:176;top:200;width:722278;height:502521;">
                <v:imagedata r:id="rId1" o:title="image1.png"/>
              </v:shape>
            </v:group>
          </w:pict>
        </mc:Fallback>
      </mc:AlternateContent>
    </w:r>
  </w:p>
  <w:p>
    <w:pPr>
      <w:pStyle w:val="Intestazione1"/>
      <w:tabs>
        <w:tab w:val="left" w:pos="5670"/>
      </w:tabs>
    </w:pPr>
    <w:r>
      <w:rPr>
        <w:rStyle w:val="Nessuno A"/>
      </w:rPr>
      <w:tab/>
    </w:r>
  </w:p>
  <w:p>
    <w:pPr>
      <w:pStyle w:val="Intestazione1"/>
      <w:tabs>
        <w:tab w:val="left" w:pos="567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75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9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1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35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5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7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95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1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35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1">
    <w:name w:val="Piè di pagina1"/>
    <w:next w:val="Piè di pagina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Titolo1">
    <w:name w:val="Titolo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rtejustify">
    <w:name w:val="rtejustify"/>
    <w:next w:val="rtejustif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